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B2" w:rsidRPr="000846A7" w:rsidRDefault="00237EB2" w:rsidP="00C925D4">
      <w:pPr>
        <w:pStyle w:val="BodyTextIndent2"/>
        <w:ind w:firstLine="0"/>
        <w:jc w:val="center"/>
      </w:pPr>
      <w:r w:rsidRPr="000846A7">
        <w:rPr>
          <w:b/>
          <w:sz w:val="28"/>
          <w:szCs w:val="28"/>
        </w:rPr>
        <w:t>1. Муниципальная программа</w:t>
      </w:r>
      <w:r w:rsidRPr="000846A7">
        <w:t xml:space="preserve"> </w:t>
      </w:r>
    </w:p>
    <w:p w:rsidR="00237EB2" w:rsidRPr="000846A7" w:rsidRDefault="00237EB2" w:rsidP="00C925D4">
      <w:pPr>
        <w:pStyle w:val="BodyTextIndent2"/>
        <w:ind w:firstLine="0"/>
        <w:jc w:val="center"/>
      </w:pPr>
      <w:r w:rsidRPr="000846A7">
        <w:rPr>
          <w:b/>
          <w:i/>
          <w:sz w:val="28"/>
        </w:rPr>
        <w:t>«Содействие социальной поддержке инвалидов, подопечных Общественной о</w:t>
      </w:r>
      <w:r w:rsidRPr="000846A7">
        <w:rPr>
          <w:b/>
          <w:i/>
          <w:sz w:val="28"/>
        </w:rPr>
        <w:t>р</w:t>
      </w:r>
      <w:r w:rsidRPr="000846A7">
        <w:rPr>
          <w:b/>
          <w:i/>
          <w:sz w:val="28"/>
        </w:rPr>
        <w:t>ганизации инвалидов г. Пскова Всероссийского общества инвалидов, на 2013 - 2016 годы»</w:t>
      </w:r>
    </w:p>
    <w:p w:rsidR="00237EB2" w:rsidRPr="000846A7" w:rsidRDefault="00237EB2">
      <w:pPr>
        <w:pStyle w:val="BodyTextIndent2"/>
        <w:rPr>
          <w:sz w:val="24"/>
        </w:rPr>
      </w:pPr>
    </w:p>
    <w:p w:rsidR="00237EB2" w:rsidRPr="000846A7" w:rsidRDefault="00237EB2">
      <w:pPr>
        <w:pStyle w:val="BodyTextIndent2"/>
        <w:rPr>
          <w:sz w:val="24"/>
        </w:rPr>
      </w:pPr>
    </w:p>
    <w:p w:rsidR="00237EB2" w:rsidRPr="000846A7" w:rsidRDefault="00237EB2" w:rsidP="007A3971">
      <w:pPr>
        <w:ind w:firstLine="709"/>
        <w:jc w:val="both"/>
        <w:rPr>
          <w:snapToGrid w:val="0"/>
          <w:sz w:val="28"/>
        </w:rPr>
      </w:pPr>
      <w:r w:rsidRPr="000846A7">
        <w:rPr>
          <w:b/>
          <w:i/>
          <w:sz w:val="28"/>
        </w:rPr>
        <w:t>Утверждена</w:t>
      </w:r>
      <w:r w:rsidRPr="000846A7">
        <w:rPr>
          <w:sz w:val="28"/>
        </w:rPr>
        <w:t xml:space="preserve"> </w:t>
      </w:r>
      <w:r w:rsidRPr="000846A7">
        <w:rPr>
          <w:snapToGrid w:val="0"/>
          <w:sz w:val="28"/>
        </w:rPr>
        <w:t xml:space="preserve">Постановлением Администрации города Пскова от 21 мая </w:t>
      </w:r>
      <w:smartTag w:uri="urn:schemas-microsoft-com:office:smarttags" w:element="metricconverter">
        <w:smartTagPr>
          <w:attr w:name="ProductID" w:val="2013 г"/>
        </w:smartTagPr>
        <w:r w:rsidRPr="000846A7">
          <w:rPr>
            <w:snapToGrid w:val="0"/>
            <w:sz w:val="28"/>
          </w:rPr>
          <w:t>2013 г</w:t>
        </w:r>
      </w:smartTag>
      <w:r w:rsidRPr="000846A7">
        <w:rPr>
          <w:snapToGrid w:val="0"/>
          <w:sz w:val="28"/>
        </w:rPr>
        <w:t>. №1184.</w:t>
      </w:r>
    </w:p>
    <w:p w:rsidR="00237EB2" w:rsidRPr="000846A7" w:rsidRDefault="00237EB2" w:rsidP="007A3971">
      <w:pPr>
        <w:ind w:firstLine="720"/>
        <w:jc w:val="both"/>
        <w:rPr>
          <w:snapToGrid w:val="0"/>
          <w:sz w:val="28"/>
        </w:rPr>
      </w:pPr>
      <w:r w:rsidRPr="000846A7">
        <w:rPr>
          <w:b/>
          <w:i/>
          <w:sz w:val="28"/>
        </w:rPr>
        <w:t>Сроки реализации программы:</w:t>
      </w:r>
      <w:r w:rsidRPr="000846A7">
        <w:rPr>
          <w:i/>
          <w:sz w:val="28"/>
        </w:rPr>
        <w:t xml:space="preserve"> </w:t>
      </w:r>
      <w:r w:rsidRPr="000846A7">
        <w:rPr>
          <w:snapToGrid w:val="0"/>
          <w:sz w:val="28"/>
        </w:rPr>
        <w:t xml:space="preserve">2013-2016 годы. </w:t>
      </w:r>
    </w:p>
    <w:p w:rsidR="00237EB2" w:rsidRPr="000846A7" w:rsidRDefault="00237EB2" w:rsidP="007A3971">
      <w:pPr>
        <w:pStyle w:val="BodyTextIndent"/>
        <w:rPr>
          <w:snapToGrid w:val="0"/>
          <w:sz w:val="28"/>
        </w:rPr>
      </w:pPr>
      <w:r w:rsidRPr="000846A7">
        <w:rPr>
          <w:b/>
          <w:i/>
          <w:sz w:val="28"/>
        </w:rPr>
        <w:t>Ответственный исполнитель программы:</w:t>
      </w:r>
      <w:r w:rsidRPr="000846A7">
        <w:t xml:space="preserve">  </w:t>
      </w:r>
      <w:r w:rsidRPr="000846A7">
        <w:rPr>
          <w:snapToGrid w:val="0"/>
          <w:sz w:val="28"/>
        </w:rPr>
        <w:t>Комитет социально-экономического развития и потребительского рынка Администрации города Пск</w:t>
      </w:r>
      <w:r w:rsidRPr="000846A7">
        <w:rPr>
          <w:snapToGrid w:val="0"/>
          <w:sz w:val="28"/>
        </w:rPr>
        <w:t>о</w:t>
      </w:r>
      <w:r w:rsidRPr="000846A7">
        <w:rPr>
          <w:snapToGrid w:val="0"/>
          <w:sz w:val="28"/>
        </w:rPr>
        <w:t xml:space="preserve">ва. </w:t>
      </w:r>
    </w:p>
    <w:p w:rsidR="00237EB2" w:rsidRPr="000846A7" w:rsidRDefault="00237EB2" w:rsidP="007A3971">
      <w:pPr>
        <w:ind w:firstLine="720"/>
        <w:jc w:val="both"/>
        <w:rPr>
          <w:b/>
          <w:sz w:val="28"/>
        </w:rPr>
      </w:pPr>
      <w:r w:rsidRPr="000846A7">
        <w:rPr>
          <w:b/>
          <w:i/>
          <w:sz w:val="28"/>
        </w:rPr>
        <w:t>Цель программы:</w:t>
      </w:r>
      <w:r w:rsidRPr="000846A7">
        <w:rPr>
          <w:b/>
          <w:sz w:val="28"/>
        </w:rPr>
        <w:t xml:space="preserve"> </w:t>
      </w:r>
    </w:p>
    <w:p w:rsidR="00237EB2" w:rsidRPr="000846A7" w:rsidRDefault="00237EB2" w:rsidP="007E4703">
      <w:pPr>
        <w:ind w:firstLine="720"/>
        <w:jc w:val="both"/>
        <w:rPr>
          <w:sz w:val="28"/>
        </w:rPr>
      </w:pPr>
      <w:r w:rsidRPr="000846A7">
        <w:rPr>
          <w:sz w:val="28"/>
          <w:szCs w:val="28"/>
        </w:rPr>
        <w:t>содействие социальной  поддержке инвалидов, подопечных  Общественной  организации инвалидов г. Пскова Всероссийского общества инвалидов</w:t>
      </w:r>
      <w:r w:rsidRPr="000846A7">
        <w:rPr>
          <w:sz w:val="28"/>
        </w:rPr>
        <w:t>.</w:t>
      </w:r>
    </w:p>
    <w:p w:rsidR="00237EB2" w:rsidRPr="000846A7" w:rsidRDefault="00237EB2" w:rsidP="007A3971">
      <w:pPr>
        <w:ind w:firstLine="720"/>
        <w:jc w:val="both"/>
        <w:rPr>
          <w:b/>
          <w:i/>
          <w:sz w:val="28"/>
        </w:rPr>
      </w:pPr>
      <w:r w:rsidRPr="000846A7">
        <w:rPr>
          <w:b/>
          <w:i/>
          <w:sz w:val="28"/>
        </w:rPr>
        <w:t>Основные задачи программы:</w:t>
      </w:r>
    </w:p>
    <w:p w:rsidR="00237EB2" w:rsidRPr="000846A7" w:rsidRDefault="00237EB2" w:rsidP="007E4703">
      <w:pPr>
        <w:ind w:firstLine="720"/>
        <w:jc w:val="both"/>
        <w:rPr>
          <w:sz w:val="28"/>
        </w:rPr>
      </w:pPr>
      <w:r w:rsidRPr="000846A7">
        <w:rPr>
          <w:sz w:val="28"/>
        </w:rPr>
        <w:t>1. Обеспечение бесперебойной работы всех структур ООИП ВОИ, напра</w:t>
      </w:r>
      <w:r w:rsidRPr="000846A7">
        <w:rPr>
          <w:sz w:val="28"/>
        </w:rPr>
        <w:t>в</w:t>
      </w:r>
      <w:r w:rsidRPr="000846A7">
        <w:rPr>
          <w:sz w:val="28"/>
        </w:rPr>
        <w:t>ленных на повышение качества жизни подопечных инвалидов (Правления, коми</w:t>
      </w:r>
      <w:r w:rsidRPr="000846A7">
        <w:rPr>
          <w:sz w:val="28"/>
        </w:rPr>
        <w:t>с</w:t>
      </w:r>
      <w:r w:rsidRPr="000846A7">
        <w:rPr>
          <w:sz w:val="28"/>
        </w:rPr>
        <w:t>сий, первичных организаций ВОИ микрорайонов г. Пскова, социальной аптеки, Центра профилактики здоровья, учебного компьютерного класса, Интернет-клуба, развивающей игротеки для детей, Клуба родителей, ООО "Домашний мастер").</w:t>
      </w:r>
    </w:p>
    <w:p w:rsidR="00237EB2" w:rsidRPr="000846A7" w:rsidRDefault="00237EB2" w:rsidP="007E4703">
      <w:pPr>
        <w:ind w:firstLine="720"/>
        <w:jc w:val="both"/>
        <w:rPr>
          <w:sz w:val="28"/>
        </w:rPr>
      </w:pPr>
      <w:r w:rsidRPr="000846A7">
        <w:rPr>
          <w:sz w:val="28"/>
        </w:rPr>
        <w:t>2. Содействие организации собственной производственно-коммерческой де</w:t>
      </w:r>
      <w:r w:rsidRPr="000846A7">
        <w:rPr>
          <w:sz w:val="28"/>
        </w:rPr>
        <w:t>я</w:t>
      </w:r>
      <w:r w:rsidRPr="000846A7">
        <w:rPr>
          <w:sz w:val="28"/>
        </w:rPr>
        <w:t>тельности инвалидов для обеспечения условий поэтапного перехода ООИП ВОИ на самофинансирование своих социальных программ</w:t>
      </w:r>
    </w:p>
    <w:p w:rsidR="00237EB2" w:rsidRPr="000846A7" w:rsidRDefault="00237EB2" w:rsidP="007E4703">
      <w:pPr>
        <w:ind w:firstLine="720"/>
        <w:jc w:val="both"/>
        <w:rPr>
          <w:sz w:val="28"/>
        </w:rPr>
      </w:pPr>
      <w:r w:rsidRPr="000846A7">
        <w:rPr>
          <w:sz w:val="28"/>
        </w:rPr>
        <w:t>3. Организация обучения и привлечения к трудовой деятельности инвалидов, подопечных ООИП ВОИ.</w:t>
      </w:r>
    </w:p>
    <w:p w:rsidR="00237EB2" w:rsidRPr="000846A7" w:rsidRDefault="00237EB2">
      <w:pPr>
        <w:ind w:firstLine="720"/>
        <w:jc w:val="both"/>
        <w:rPr>
          <w:sz w:val="28"/>
          <w:szCs w:val="28"/>
        </w:rPr>
      </w:pPr>
    </w:p>
    <w:p w:rsidR="00237EB2" w:rsidRPr="000846A7" w:rsidRDefault="00237EB2">
      <w:pPr>
        <w:ind w:firstLine="720"/>
        <w:jc w:val="both"/>
        <w:rPr>
          <w:sz w:val="28"/>
        </w:rPr>
      </w:pPr>
      <w:r w:rsidRPr="000846A7">
        <w:rPr>
          <w:b/>
          <w:sz w:val="28"/>
          <w:szCs w:val="28"/>
        </w:rPr>
        <w:t>Сведения о достижении значений целевых показателей</w:t>
      </w:r>
    </w:p>
    <w:p w:rsidR="00237EB2" w:rsidRPr="000846A7" w:rsidRDefault="00237EB2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237EB2" w:rsidRPr="000846A7" w:rsidTr="007E4703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Наименование показателя достижения цели  (реш</w:t>
            </w:r>
            <w:r w:rsidRPr="000846A7">
              <w:rPr>
                <w:sz w:val="24"/>
                <w:szCs w:val="24"/>
              </w:rPr>
              <w:t>е</w:t>
            </w:r>
            <w:r w:rsidRPr="000846A7">
              <w:rPr>
                <w:sz w:val="24"/>
                <w:szCs w:val="24"/>
              </w:rPr>
              <w:t xml:space="preserve">ния задачи) </w:t>
            </w:r>
            <w:r w:rsidRPr="000846A7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Ед.</w:t>
            </w:r>
          </w:p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Пояснения по достижению п</w:t>
            </w:r>
            <w:r w:rsidRPr="000846A7">
              <w:rPr>
                <w:sz w:val="24"/>
                <w:szCs w:val="24"/>
              </w:rPr>
              <w:t>о</w:t>
            </w:r>
            <w:r w:rsidRPr="000846A7">
              <w:rPr>
                <w:sz w:val="24"/>
                <w:szCs w:val="24"/>
              </w:rPr>
              <w:t>казателя</w:t>
            </w:r>
          </w:p>
        </w:tc>
      </w:tr>
      <w:tr w:rsidR="00237EB2" w:rsidRPr="000846A7" w:rsidTr="007E4703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0846A7">
              <w:rPr>
                <w:sz w:val="24"/>
                <w:szCs w:val="24"/>
              </w:rPr>
              <w:t xml:space="preserve">Уровень достижения планового значения показателя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37EB2" w:rsidRPr="000846A7" w:rsidTr="007E4703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фактич</w:t>
            </w:r>
            <w:r w:rsidRPr="000846A7">
              <w:rPr>
                <w:sz w:val="24"/>
                <w:szCs w:val="24"/>
              </w:rPr>
              <w:t>е</w:t>
            </w:r>
            <w:r w:rsidRPr="000846A7">
              <w:rPr>
                <w:sz w:val="24"/>
                <w:szCs w:val="24"/>
              </w:rPr>
              <w:t>ское зн</w:t>
            </w:r>
            <w:r w:rsidRPr="000846A7">
              <w:rPr>
                <w:sz w:val="24"/>
                <w:szCs w:val="24"/>
              </w:rPr>
              <w:t>а</w:t>
            </w:r>
            <w:r w:rsidRPr="000846A7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37EB2" w:rsidRPr="000846A7" w:rsidTr="007E4703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Количество предоста</w:t>
            </w:r>
            <w:r w:rsidRPr="000846A7">
              <w:rPr>
                <w:sz w:val="24"/>
                <w:szCs w:val="24"/>
              </w:rPr>
              <w:t>в</w:t>
            </w:r>
            <w:r w:rsidRPr="000846A7">
              <w:rPr>
                <w:sz w:val="24"/>
                <w:szCs w:val="24"/>
              </w:rPr>
              <w:t>ленных услуг учебного компьютерного класса и Интернет-клуба.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шт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500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52,2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Востребованность этих услуг у п</w:t>
            </w:r>
            <w:r w:rsidRPr="000846A7">
              <w:rPr>
                <w:sz w:val="24"/>
                <w:szCs w:val="24"/>
              </w:rPr>
              <w:t>о</w:t>
            </w:r>
            <w:r w:rsidRPr="000846A7">
              <w:rPr>
                <w:sz w:val="24"/>
                <w:szCs w:val="24"/>
              </w:rPr>
              <w:t>допечных инв</w:t>
            </w:r>
            <w:r w:rsidRPr="000846A7">
              <w:rPr>
                <w:sz w:val="24"/>
                <w:szCs w:val="24"/>
              </w:rPr>
              <w:t>а</w:t>
            </w:r>
            <w:r w:rsidRPr="000846A7">
              <w:rPr>
                <w:sz w:val="24"/>
                <w:szCs w:val="24"/>
              </w:rPr>
              <w:t>лидов постоянно возрастает.</w:t>
            </w:r>
          </w:p>
        </w:tc>
      </w:tr>
      <w:tr w:rsidR="00237EB2" w:rsidRPr="000846A7" w:rsidTr="007E4703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Количество предоста</w:t>
            </w:r>
            <w:r w:rsidRPr="000846A7">
              <w:rPr>
                <w:sz w:val="24"/>
                <w:szCs w:val="24"/>
              </w:rPr>
              <w:t>в</w:t>
            </w:r>
            <w:r w:rsidRPr="000846A7">
              <w:rPr>
                <w:sz w:val="24"/>
                <w:szCs w:val="24"/>
              </w:rPr>
              <w:t>ленных льготных услуг социальной аптеки и Це</w:t>
            </w:r>
            <w:r w:rsidRPr="000846A7">
              <w:rPr>
                <w:sz w:val="24"/>
                <w:szCs w:val="24"/>
              </w:rPr>
              <w:t>н</w:t>
            </w:r>
            <w:r w:rsidRPr="000846A7">
              <w:rPr>
                <w:sz w:val="24"/>
                <w:szCs w:val="24"/>
              </w:rPr>
              <w:t>тра профилактики здор</w:t>
            </w:r>
            <w:r w:rsidRPr="000846A7">
              <w:rPr>
                <w:sz w:val="24"/>
                <w:szCs w:val="24"/>
              </w:rPr>
              <w:t>о</w:t>
            </w:r>
            <w:r w:rsidRPr="000846A7">
              <w:rPr>
                <w:sz w:val="24"/>
                <w:szCs w:val="24"/>
              </w:rPr>
              <w:t>вья.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шт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3014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3200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2406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75,2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То же.</w:t>
            </w:r>
          </w:p>
        </w:tc>
      </w:tr>
      <w:tr w:rsidR="00237EB2" w:rsidRPr="000846A7" w:rsidTr="007E4703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Количество трудоустр</w:t>
            </w:r>
            <w:r w:rsidRPr="000846A7">
              <w:rPr>
                <w:sz w:val="24"/>
                <w:szCs w:val="24"/>
              </w:rPr>
              <w:t>о</w:t>
            </w:r>
            <w:r w:rsidRPr="000846A7">
              <w:rPr>
                <w:sz w:val="24"/>
                <w:szCs w:val="24"/>
              </w:rPr>
              <w:t>енных инвалидов через ЦЗН</w:t>
            </w:r>
          </w:p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Пскова.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чел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60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38,3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Работодатели</w:t>
            </w:r>
          </w:p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Пскова не предл</w:t>
            </w:r>
            <w:r w:rsidRPr="000846A7">
              <w:rPr>
                <w:sz w:val="24"/>
                <w:szCs w:val="24"/>
              </w:rPr>
              <w:t>а</w:t>
            </w:r>
            <w:r w:rsidRPr="000846A7">
              <w:rPr>
                <w:sz w:val="24"/>
                <w:szCs w:val="24"/>
              </w:rPr>
              <w:t>гают достаточно приемлемых в</w:t>
            </w:r>
            <w:r w:rsidRPr="000846A7">
              <w:rPr>
                <w:sz w:val="24"/>
                <w:szCs w:val="24"/>
              </w:rPr>
              <w:t>а</w:t>
            </w:r>
            <w:r w:rsidRPr="000846A7">
              <w:rPr>
                <w:sz w:val="24"/>
                <w:szCs w:val="24"/>
              </w:rPr>
              <w:t>риантов труд</w:t>
            </w:r>
            <w:r w:rsidRPr="000846A7">
              <w:rPr>
                <w:sz w:val="24"/>
                <w:szCs w:val="24"/>
              </w:rPr>
              <w:t>о</w:t>
            </w:r>
            <w:r w:rsidRPr="000846A7">
              <w:rPr>
                <w:sz w:val="24"/>
                <w:szCs w:val="24"/>
              </w:rPr>
              <w:t>устройства инв</w:t>
            </w:r>
            <w:r w:rsidRPr="000846A7">
              <w:rPr>
                <w:sz w:val="24"/>
                <w:szCs w:val="24"/>
              </w:rPr>
              <w:t>а</w:t>
            </w:r>
            <w:r w:rsidRPr="000846A7">
              <w:rPr>
                <w:sz w:val="24"/>
                <w:szCs w:val="24"/>
              </w:rPr>
              <w:t>лидов.</w:t>
            </w:r>
          </w:p>
        </w:tc>
      </w:tr>
      <w:tr w:rsidR="00237EB2" w:rsidRPr="000846A7" w:rsidTr="007E4703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Количество инвалидов трудоустроенных в стру</w:t>
            </w:r>
            <w:r w:rsidRPr="000846A7">
              <w:rPr>
                <w:sz w:val="24"/>
                <w:szCs w:val="24"/>
              </w:rPr>
              <w:t>к</w:t>
            </w:r>
            <w:r w:rsidRPr="000846A7">
              <w:rPr>
                <w:sz w:val="24"/>
                <w:szCs w:val="24"/>
              </w:rPr>
              <w:t>туры ООИП ВОИ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чел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70%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План 2014 года будет выполнен.</w:t>
            </w:r>
          </w:p>
        </w:tc>
      </w:tr>
      <w:tr w:rsidR="00237EB2" w:rsidRPr="000846A7" w:rsidTr="007E4703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Количество ПК устано</w:t>
            </w:r>
            <w:r w:rsidRPr="000846A7">
              <w:rPr>
                <w:sz w:val="24"/>
                <w:szCs w:val="24"/>
              </w:rPr>
              <w:t>в</w:t>
            </w:r>
            <w:r w:rsidRPr="000846A7">
              <w:rPr>
                <w:sz w:val="24"/>
                <w:szCs w:val="24"/>
              </w:rPr>
              <w:t>ленных инвалидам на д</w:t>
            </w:r>
            <w:r w:rsidRPr="000846A7">
              <w:rPr>
                <w:sz w:val="24"/>
                <w:szCs w:val="24"/>
              </w:rPr>
              <w:t>о</w:t>
            </w:r>
            <w:r w:rsidRPr="000846A7">
              <w:rPr>
                <w:sz w:val="24"/>
                <w:szCs w:val="24"/>
              </w:rPr>
              <w:t>му.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шт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20%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План 2014 года будет выполнен. В резерве имею</w:t>
            </w:r>
            <w:r w:rsidRPr="000846A7">
              <w:rPr>
                <w:sz w:val="24"/>
                <w:szCs w:val="24"/>
              </w:rPr>
              <w:t>т</w:t>
            </w:r>
            <w:r w:rsidRPr="000846A7">
              <w:rPr>
                <w:sz w:val="24"/>
                <w:szCs w:val="24"/>
              </w:rPr>
              <w:t>ся  2 ПК и еще 2ПК обещаны спонсорами.</w:t>
            </w:r>
          </w:p>
        </w:tc>
      </w:tr>
      <w:tr w:rsidR="00237EB2" w:rsidRPr="000846A7" w:rsidTr="007E4703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Количество инвалидов проходящих обучение н</w:t>
            </w:r>
            <w:r w:rsidRPr="000846A7">
              <w:rPr>
                <w:sz w:val="24"/>
                <w:szCs w:val="24"/>
              </w:rPr>
              <w:t>а</w:t>
            </w:r>
            <w:r w:rsidRPr="000846A7">
              <w:rPr>
                <w:sz w:val="24"/>
                <w:szCs w:val="24"/>
              </w:rPr>
              <w:t>родным ремеслам, ди</w:t>
            </w:r>
            <w:r w:rsidRPr="000846A7">
              <w:rPr>
                <w:sz w:val="24"/>
                <w:szCs w:val="24"/>
              </w:rPr>
              <w:t>с</w:t>
            </w:r>
            <w:r w:rsidRPr="000846A7">
              <w:rPr>
                <w:sz w:val="24"/>
                <w:szCs w:val="24"/>
              </w:rPr>
              <w:t>танционной работе на ПК</w:t>
            </w:r>
          </w:p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чел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Планируется н</w:t>
            </w:r>
            <w:r w:rsidRPr="000846A7">
              <w:rPr>
                <w:sz w:val="24"/>
                <w:szCs w:val="24"/>
              </w:rPr>
              <w:t>а</w:t>
            </w:r>
            <w:r w:rsidRPr="000846A7">
              <w:rPr>
                <w:sz w:val="24"/>
                <w:szCs w:val="24"/>
              </w:rPr>
              <w:t xml:space="preserve">чать обучение с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846A7">
                <w:rPr>
                  <w:sz w:val="24"/>
                  <w:szCs w:val="24"/>
                </w:rPr>
                <w:t>2014 г</w:t>
              </w:r>
            </w:smartTag>
            <w:r w:rsidRPr="000846A7">
              <w:rPr>
                <w:sz w:val="24"/>
                <w:szCs w:val="24"/>
              </w:rPr>
              <w:t>.</w:t>
            </w:r>
          </w:p>
        </w:tc>
      </w:tr>
      <w:tr w:rsidR="00237EB2" w:rsidRPr="000846A7" w:rsidTr="007E4703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Количество материалов размещенных в СМИ по вопросам поддержки и</w:t>
            </w:r>
            <w:r w:rsidRPr="000846A7">
              <w:rPr>
                <w:sz w:val="24"/>
                <w:szCs w:val="24"/>
              </w:rPr>
              <w:t>н</w:t>
            </w:r>
            <w:r w:rsidRPr="000846A7">
              <w:rPr>
                <w:sz w:val="24"/>
                <w:szCs w:val="24"/>
              </w:rPr>
              <w:t>валидов.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шт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50%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7EB2" w:rsidRPr="000846A7" w:rsidRDefault="00237EB2" w:rsidP="007E4703">
            <w:pPr>
              <w:contextualSpacing/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План 2014 года будет выполнен.</w:t>
            </w:r>
          </w:p>
        </w:tc>
      </w:tr>
    </w:tbl>
    <w:p w:rsidR="00237EB2" w:rsidRPr="000846A7" w:rsidRDefault="00237EB2" w:rsidP="006E0658">
      <w:pPr>
        <w:jc w:val="both"/>
        <w:rPr>
          <w:sz w:val="24"/>
          <w:szCs w:val="24"/>
        </w:rPr>
      </w:pPr>
    </w:p>
    <w:p w:rsidR="00237EB2" w:rsidRPr="000846A7" w:rsidRDefault="00237EB2" w:rsidP="00F84754">
      <w:pPr>
        <w:jc w:val="center"/>
        <w:rPr>
          <w:b/>
          <w:snapToGrid w:val="0"/>
          <w:sz w:val="28"/>
        </w:rPr>
      </w:pPr>
      <w:r w:rsidRPr="000846A7">
        <w:rPr>
          <w:b/>
          <w:i/>
          <w:snapToGrid w:val="0"/>
          <w:sz w:val="28"/>
        </w:rPr>
        <w:t>Объемы финансирования</w:t>
      </w:r>
      <w:r w:rsidRPr="000846A7">
        <w:rPr>
          <w:b/>
          <w:snapToGrid w:val="0"/>
          <w:sz w:val="28"/>
        </w:rPr>
        <w:t xml:space="preserve"> </w:t>
      </w:r>
      <w:r w:rsidRPr="000846A7">
        <w:rPr>
          <w:b/>
          <w:sz w:val="28"/>
        </w:rPr>
        <w:t>по программе</w:t>
      </w:r>
    </w:p>
    <w:p w:rsidR="00237EB2" w:rsidRPr="000846A7" w:rsidRDefault="00237EB2" w:rsidP="00737482">
      <w:pPr>
        <w:ind w:firstLine="720"/>
        <w:jc w:val="right"/>
        <w:rPr>
          <w:sz w:val="24"/>
          <w:szCs w:val="24"/>
        </w:rPr>
      </w:pPr>
      <w:r w:rsidRPr="000846A7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1670"/>
        <w:gridCol w:w="1910"/>
        <w:gridCol w:w="1378"/>
        <w:gridCol w:w="1494"/>
        <w:gridCol w:w="967"/>
      </w:tblGrid>
      <w:tr w:rsidR="00237EB2" w:rsidRPr="000846A7" w:rsidTr="00B64BE7">
        <w:trPr>
          <w:trHeight w:val="253"/>
          <w:jc w:val="center"/>
        </w:trPr>
        <w:tc>
          <w:tcPr>
            <w:tcW w:w="976" w:type="dxa"/>
            <w:vMerge w:val="restart"/>
          </w:tcPr>
          <w:p w:rsidR="00237EB2" w:rsidRPr="000846A7" w:rsidRDefault="00237EB2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Всего</w:t>
            </w:r>
          </w:p>
        </w:tc>
        <w:tc>
          <w:tcPr>
            <w:tcW w:w="3580" w:type="dxa"/>
            <w:gridSpan w:val="2"/>
          </w:tcPr>
          <w:p w:rsidR="00237EB2" w:rsidRPr="000846A7" w:rsidRDefault="00237EB2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72" w:type="dxa"/>
            <w:gridSpan w:val="2"/>
          </w:tcPr>
          <w:p w:rsidR="00237EB2" w:rsidRPr="000846A7" w:rsidRDefault="00237EB2" w:rsidP="0026325A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Исполнение</w:t>
            </w:r>
          </w:p>
        </w:tc>
        <w:tc>
          <w:tcPr>
            <w:tcW w:w="967" w:type="dxa"/>
            <w:vMerge w:val="restart"/>
          </w:tcPr>
          <w:p w:rsidR="00237EB2" w:rsidRPr="000846A7" w:rsidRDefault="00237EB2" w:rsidP="0026325A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% и</w:t>
            </w:r>
            <w:r w:rsidRPr="000846A7">
              <w:rPr>
                <w:sz w:val="24"/>
                <w:szCs w:val="24"/>
              </w:rPr>
              <w:t>с</w:t>
            </w:r>
            <w:r w:rsidRPr="000846A7">
              <w:rPr>
                <w:sz w:val="24"/>
                <w:szCs w:val="24"/>
              </w:rPr>
              <w:t>полн</w:t>
            </w:r>
            <w:r w:rsidRPr="000846A7">
              <w:rPr>
                <w:sz w:val="24"/>
                <w:szCs w:val="24"/>
              </w:rPr>
              <w:t>е</w:t>
            </w:r>
            <w:r w:rsidRPr="000846A7">
              <w:rPr>
                <w:sz w:val="24"/>
                <w:szCs w:val="24"/>
              </w:rPr>
              <w:t>ния</w:t>
            </w:r>
          </w:p>
          <w:p w:rsidR="00237EB2" w:rsidRPr="000846A7" w:rsidRDefault="00237EB2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237EB2" w:rsidRPr="000846A7" w:rsidTr="00B64BE7">
        <w:trPr>
          <w:jc w:val="center"/>
        </w:trPr>
        <w:tc>
          <w:tcPr>
            <w:tcW w:w="976" w:type="dxa"/>
            <w:vMerge/>
          </w:tcPr>
          <w:p w:rsidR="00237EB2" w:rsidRPr="000846A7" w:rsidRDefault="00237EB2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237EB2" w:rsidRPr="000846A7" w:rsidRDefault="00237EB2" w:rsidP="0026325A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10" w:type="dxa"/>
          </w:tcPr>
          <w:p w:rsidR="00237EB2" w:rsidRPr="000846A7" w:rsidRDefault="00237EB2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 xml:space="preserve">Внебюджетные </w:t>
            </w:r>
          </w:p>
          <w:p w:rsidR="00237EB2" w:rsidRPr="000846A7" w:rsidRDefault="00237EB2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источники</w:t>
            </w:r>
          </w:p>
        </w:tc>
        <w:tc>
          <w:tcPr>
            <w:tcW w:w="1378" w:type="dxa"/>
          </w:tcPr>
          <w:p w:rsidR="00237EB2" w:rsidRPr="000846A7" w:rsidRDefault="00237EB2" w:rsidP="000D4FFF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94" w:type="dxa"/>
          </w:tcPr>
          <w:p w:rsidR="00237EB2" w:rsidRPr="000846A7" w:rsidRDefault="00237EB2" w:rsidP="000D4FFF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Внебю</w:t>
            </w:r>
            <w:r w:rsidRPr="000846A7">
              <w:rPr>
                <w:sz w:val="24"/>
                <w:szCs w:val="24"/>
              </w:rPr>
              <w:t>д</w:t>
            </w:r>
            <w:r w:rsidRPr="000846A7">
              <w:rPr>
                <w:sz w:val="24"/>
                <w:szCs w:val="24"/>
              </w:rPr>
              <w:t>жетные и</w:t>
            </w:r>
            <w:r w:rsidRPr="000846A7">
              <w:rPr>
                <w:sz w:val="24"/>
                <w:szCs w:val="24"/>
              </w:rPr>
              <w:t>с</w:t>
            </w:r>
            <w:r w:rsidRPr="000846A7">
              <w:rPr>
                <w:sz w:val="24"/>
                <w:szCs w:val="24"/>
              </w:rPr>
              <w:t>точники</w:t>
            </w:r>
          </w:p>
        </w:tc>
        <w:tc>
          <w:tcPr>
            <w:tcW w:w="967" w:type="dxa"/>
            <w:vMerge/>
          </w:tcPr>
          <w:p w:rsidR="00237EB2" w:rsidRPr="000846A7" w:rsidRDefault="00237EB2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237EB2" w:rsidRPr="000846A7" w:rsidTr="00B64BE7">
        <w:trPr>
          <w:jc w:val="center"/>
        </w:trPr>
        <w:tc>
          <w:tcPr>
            <w:tcW w:w="976" w:type="dxa"/>
          </w:tcPr>
          <w:p w:rsidR="00237EB2" w:rsidRPr="000846A7" w:rsidRDefault="00237EB2" w:rsidP="00B4513D">
            <w:pPr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650</w:t>
            </w:r>
          </w:p>
        </w:tc>
        <w:tc>
          <w:tcPr>
            <w:tcW w:w="1670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500</w:t>
            </w:r>
          </w:p>
        </w:tc>
        <w:tc>
          <w:tcPr>
            <w:tcW w:w="1910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150</w:t>
            </w:r>
          </w:p>
        </w:tc>
        <w:tc>
          <w:tcPr>
            <w:tcW w:w="1378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500</w:t>
            </w:r>
          </w:p>
        </w:tc>
        <w:tc>
          <w:tcPr>
            <w:tcW w:w="1494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312,5</w:t>
            </w:r>
          </w:p>
        </w:tc>
        <w:tc>
          <w:tcPr>
            <w:tcW w:w="967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125</w:t>
            </w:r>
          </w:p>
        </w:tc>
        <w:bookmarkStart w:id="0" w:name="_GoBack"/>
        <w:bookmarkEnd w:id="0"/>
      </w:tr>
      <w:tr w:rsidR="00237EB2" w:rsidRPr="000846A7" w:rsidTr="00B64BE7">
        <w:trPr>
          <w:jc w:val="center"/>
        </w:trPr>
        <w:tc>
          <w:tcPr>
            <w:tcW w:w="976" w:type="dxa"/>
          </w:tcPr>
          <w:p w:rsidR="00237EB2" w:rsidRPr="000846A7" w:rsidRDefault="00237EB2" w:rsidP="00B4513D">
            <w:pPr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650</w:t>
            </w:r>
          </w:p>
        </w:tc>
        <w:tc>
          <w:tcPr>
            <w:tcW w:w="1670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400</w:t>
            </w:r>
          </w:p>
        </w:tc>
        <w:tc>
          <w:tcPr>
            <w:tcW w:w="1910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250</w:t>
            </w:r>
          </w:p>
        </w:tc>
        <w:tc>
          <w:tcPr>
            <w:tcW w:w="1378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255,1</w:t>
            </w:r>
          </w:p>
        </w:tc>
        <w:tc>
          <w:tcPr>
            <w:tcW w:w="1494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91,9</w:t>
            </w:r>
          </w:p>
        </w:tc>
        <w:tc>
          <w:tcPr>
            <w:tcW w:w="967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53,4</w:t>
            </w:r>
          </w:p>
        </w:tc>
      </w:tr>
      <w:tr w:rsidR="00237EB2" w:rsidRPr="000846A7" w:rsidTr="00B64BE7">
        <w:trPr>
          <w:jc w:val="center"/>
        </w:trPr>
        <w:tc>
          <w:tcPr>
            <w:tcW w:w="976" w:type="dxa"/>
          </w:tcPr>
          <w:p w:rsidR="00237EB2" w:rsidRPr="000846A7" w:rsidRDefault="00237EB2" w:rsidP="00B4513D">
            <w:pPr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2015</w:t>
            </w:r>
          </w:p>
        </w:tc>
        <w:tc>
          <w:tcPr>
            <w:tcW w:w="1655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650</w:t>
            </w:r>
          </w:p>
        </w:tc>
        <w:tc>
          <w:tcPr>
            <w:tcW w:w="1670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350</w:t>
            </w:r>
          </w:p>
        </w:tc>
        <w:tc>
          <w:tcPr>
            <w:tcW w:w="1910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300</w:t>
            </w:r>
          </w:p>
        </w:tc>
        <w:tc>
          <w:tcPr>
            <w:tcW w:w="1378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</w:p>
        </w:tc>
      </w:tr>
      <w:tr w:rsidR="00237EB2" w:rsidRPr="000846A7" w:rsidTr="00B64BE7">
        <w:trPr>
          <w:jc w:val="center"/>
        </w:trPr>
        <w:tc>
          <w:tcPr>
            <w:tcW w:w="976" w:type="dxa"/>
          </w:tcPr>
          <w:p w:rsidR="00237EB2" w:rsidRPr="000846A7" w:rsidRDefault="00237EB2" w:rsidP="00B4513D">
            <w:pPr>
              <w:jc w:val="both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2016</w:t>
            </w:r>
          </w:p>
        </w:tc>
        <w:tc>
          <w:tcPr>
            <w:tcW w:w="1655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  <w:r w:rsidRPr="000846A7">
              <w:rPr>
                <w:sz w:val="24"/>
                <w:szCs w:val="24"/>
              </w:rPr>
              <w:t>650</w:t>
            </w:r>
          </w:p>
        </w:tc>
        <w:tc>
          <w:tcPr>
            <w:tcW w:w="1670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300</w:t>
            </w:r>
          </w:p>
        </w:tc>
        <w:tc>
          <w:tcPr>
            <w:tcW w:w="1910" w:type="dxa"/>
          </w:tcPr>
          <w:p w:rsidR="00237EB2" w:rsidRPr="000846A7" w:rsidRDefault="00237EB2" w:rsidP="000A5A5D">
            <w:pPr>
              <w:jc w:val="center"/>
              <w:rPr>
                <w:snapToGrid w:val="0"/>
                <w:sz w:val="22"/>
              </w:rPr>
            </w:pPr>
            <w:r w:rsidRPr="000846A7">
              <w:rPr>
                <w:snapToGrid w:val="0"/>
                <w:sz w:val="22"/>
              </w:rPr>
              <w:t>350</w:t>
            </w:r>
          </w:p>
        </w:tc>
        <w:tc>
          <w:tcPr>
            <w:tcW w:w="1378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237EB2" w:rsidRPr="000846A7" w:rsidRDefault="00237EB2" w:rsidP="00B45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EB2" w:rsidRPr="000846A7" w:rsidRDefault="00237EB2" w:rsidP="007A3971">
      <w:pPr>
        <w:ind w:firstLine="720"/>
        <w:jc w:val="both"/>
        <w:rPr>
          <w:sz w:val="28"/>
        </w:rPr>
      </w:pPr>
    </w:p>
    <w:p w:rsidR="00237EB2" w:rsidRPr="000846A7" w:rsidRDefault="00237EB2" w:rsidP="00A42EBE">
      <w:pPr>
        <w:ind w:firstLine="709"/>
        <w:jc w:val="both"/>
        <w:rPr>
          <w:sz w:val="28"/>
          <w:szCs w:val="28"/>
        </w:rPr>
      </w:pPr>
      <w:r w:rsidRPr="000846A7">
        <w:rPr>
          <w:sz w:val="28"/>
          <w:szCs w:val="28"/>
        </w:rPr>
        <w:t>В бюджете города Пскова на финансирование программы в 2014 году пред</w:t>
      </w:r>
      <w:r w:rsidRPr="000846A7">
        <w:rPr>
          <w:sz w:val="28"/>
          <w:szCs w:val="28"/>
        </w:rPr>
        <w:t>у</w:t>
      </w:r>
      <w:r w:rsidRPr="000846A7">
        <w:rPr>
          <w:sz w:val="28"/>
          <w:szCs w:val="28"/>
        </w:rPr>
        <w:t>смотрено 400</w:t>
      </w:r>
      <w:r w:rsidRPr="000846A7">
        <w:t xml:space="preserve"> </w:t>
      </w:r>
      <w:r w:rsidRPr="000846A7">
        <w:rPr>
          <w:sz w:val="28"/>
          <w:szCs w:val="28"/>
        </w:rPr>
        <w:t>тыс. рублей.</w:t>
      </w:r>
    </w:p>
    <w:p w:rsidR="00237EB2" w:rsidRPr="000846A7" w:rsidRDefault="00237EB2" w:rsidP="00A42EBE">
      <w:pPr>
        <w:ind w:firstLine="709"/>
        <w:jc w:val="both"/>
        <w:rPr>
          <w:sz w:val="28"/>
          <w:szCs w:val="28"/>
        </w:rPr>
      </w:pPr>
      <w:r w:rsidRPr="000846A7">
        <w:rPr>
          <w:sz w:val="28"/>
          <w:szCs w:val="28"/>
        </w:rPr>
        <w:t xml:space="preserve">По итогам 6 месяцев 2014 года выделенное финансирование (255,1 тыс. руб.) освоено на 63,8% от предусмотренного в бюджете города Пскова. </w:t>
      </w:r>
    </w:p>
    <w:p w:rsidR="00237EB2" w:rsidRPr="000846A7" w:rsidRDefault="00237EB2" w:rsidP="001D1E96">
      <w:pPr>
        <w:ind w:firstLine="709"/>
        <w:jc w:val="both"/>
        <w:rPr>
          <w:sz w:val="28"/>
          <w:szCs w:val="28"/>
        </w:rPr>
      </w:pPr>
      <w:r w:rsidRPr="000846A7">
        <w:rPr>
          <w:sz w:val="28"/>
          <w:szCs w:val="28"/>
        </w:rPr>
        <w:t>Выделенные средства были направлены на финансирование текущих расх</w:t>
      </w:r>
      <w:r w:rsidRPr="000846A7">
        <w:rPr>
          <w:sz w:val="28"/>
          <w:szCs w:val="28"/>
        </w:rPr>
        <w:t>о</w:t>
      </w:r>
      <w:r w:rsidRPr="000846A7">
        <w:rPr>
          <w:sz w:val="28"/>
          <w:szCs w:val="28"/>
        </w:rPr>
        <w:t>дов ООИП ВОИ (содержание помещения, оборудования, штата, предоставление телефонных услуг и доступа к сети Интернет, приобретение автобусных билетов для актива ООИП ВОИ, канцелярские расходы).</w:t>
      </w:r>
    </w:p>
    <w:p w:rsidR="00237EB2" w:rsidRPr="000846A7" w:rsidRDefault="00237EB2" w:rsidP="00574875">
      <w:pPr>
        <w:ind w:firstLine="709"/>
        <w:jc w:val="both"/>
        <w:rPr>
          <w:sz w:val="28"/>
          <w:szCs w:val="28"/>
        </w:rPr>
      </w:pPr>
      <w:r w:rsidRPr="000846A7">
        <w:rPr>
          <w:sz w:val="28"/>
          <w:szCs w:val="28"/>
        </w:rPr>
        <w:t>Сумма привлеченных внебюджетных средств за первое полугодие 2014 года на реализацию программных мероприятий составила 91,9 тыс. руб. (36,8% от з</w:t>
      </w:r>
      <w:r w:rsidRPr="000846A7">
        <w:rPr>
          <w:sz w:val="28"/>
          <w:szCs w:val="28"/>
        </w:rPr>
        <w:t>а</w:t>
      </w:r>
      <w:r w:rsidRPr="000846A7">
        <w:rPr>
          <w:sz w:val="28"/>
          <w:szCs w:val="28"/>
        </w:rPr>
        <w:t>планированной суммы внебюджетных средств).</w:t>
      </w:r>
    </w:p>
    <w:p w:rsidR="00237EB2" w:rsidRPr="000846A7" w:rsidRDefault="00237EB2" w:rsidP="00574875">
      <w:pPr>
        <w:ind w:firstLine="709"/>
        <w:jc w:val="both"/>
        <w:rPr>
          <w:sz w:val="28"/>
          <w:szCs w:val="28"/>
        </w:rPr>
      </w:pPr>
      <w:r w:rsidRPr="000846A7">
        <w:rPr>
          <w:sz w:val="28"/>
          <w:szCs w:val="28"/>
        </w:rPr>
        <w:t>ООИП ВОИ за счет внебюджетных средств оказана материальная помощь членам ООИП ВОИ в сумме 3935 руб., произведен ремонт в 4 квартирах на сумму 54.8 тыс.руб. Средства в сумме 33,2 тыс.руб. направлены на финансирование т</w:t>
      </w:r>
      <w:r w:rsidRPr="000846A7">
        <w:rPr>
          <w:sz w:val="28"/>
          <w:szCs w:val="28"/>
        </w:rPr>
        <w:t>е</w:t>
      </w:r>
      <w:r w:rsidRPr="000846A7">
        <w:rPr>
          <w:sz w:val="28"/>
          <w:szCs w:val="28"/>
        </w:rPr>
        <w:t>кущих расходов ООИП ВОИ.</w:t>
      </w:r>
    </w:p>
    <w:sectPr w:rsidR="00237EB2" w:rsidRPr="000846A7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6039A"/>
    <w:rsid w:val="0007421F"/>
    <w:rsid w:val="000846A7"/>
    <w:rsid w:val="00091DFB"/>
    <w:rsid w:val="00095F34"/>
    <w:rsid w:val="000A5A5D"/>
    <w:rsid w:val="000D4FFF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37EB2"/>
    <w:rsid w:val="002420CB"/>
    <w:rsid w:val="0026325A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23678"/>
    <w:rsid w:val="003306D7"/>
    <w:rsid w:val="00361A6D"/>
    <w:rsid w:val="003A06F6"/>
    <w:rsid w:val="00402586"/>
    <w:rsid w:val="00410D72"/>
    <w:rsid w:val="00414672"/>
    <w:rsid w:val="00424779"/>
    <w:rsid w:val="00425876"/>
    <w:rsid w:val="00456D8A"/>
    <w:rsid w:val="004B2FDF"/>
    <w:rsid w:val="004C70C1"/>
    <w:rsid w:val="004D3EDE"/>
    <w:rsid w:val="00537014"/>
    <w:rsid w:val="0057436B"/>
    <w:rsid w:val="00574875"/>
    <w:rsid w:val="00576207"/>
    <w:rsid w:val="00576A61"/>
    <w:rsid w:val="00587845"/>
    <w:rsid w:val="005956B9"/>
    <w:rsid w:val="00597C41"/>
    <w:rsid w:val="005A5F4A"/>
    <w:rsid w:val="005B16A2"/>
    <w:rsid w:val="005C5F9E"/>
    <w:rsid w:val="005E05B1"/>
    <w:rsid w:val="005E16AD"/>
    <w:rsid w:val="005F6E4D"/>
    <w:rsid w:val="00616577"/>
    <w:rsid w:val="00633E2E"/>
    <w:rsid w:val="00640FB1"/>
    <w:rsid w:val="00660AAE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B0E73"/>
    <w:rsid w:val="007B2C53"/>
    <w:rsid w:val="007C3EA9"/>
    <w:rsid w:val="007D08CE"/>
    <w:rsid w:val="007D1BD4"/>
    <w:rsid w:val="007E4703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15211"/>
    <w:rsid w:val="00923F1F"/>
    <w:rsid w:val="009345E3"/>
    <w:rsid w:val="00935484"/>
    <w:rsid w:val="00941D8E"/>
    <w:rsid w:val="00947453"/>
    <w:rsid w:val="009657E2"/>
    <w:rsid w:val="0097429D"/>
    <w:rsid w:val="0099734E"/>
    <w:rsid w:val="009F4BD4"/>
    <w:rsid w:val="00A01194"/>
    <w:rsid w:val="00A06937"/>
    <w:rsid w:val="00A23390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3873"/>
    <w:rsid w:val="00B64BE7"/>
    <w:rsid w:val="00BA0D4A"/>
    <w:rsid w:val="00BC07EA"/>
    <w:rsid w:val="00BD2C12"/>
    <w:rsid w:val="00BE247E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477B"/>
    <w:rsid w:val="00D779A4"/>
    <w:rsid w:val="00D8081F"/>
    <w:rsid w:val="00D9636C"/>
    <w:rsid w:val="00DA19B1"/>
    <w:rsid w:val="00DC208D"/>
    <w:rsid w:val="00DC544D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27B6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565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5</cp:revision>
  <cp:lastPrinted>2013-10-21T12:10:00Z</cp:lastPrinted>
  <dcterms:created xsi:type="dcterms:W3CDTF">2014-07-18T13:10:00Z</dcterms:created>
  <dcterms:modified xsi:type="dcterms:W3CDTF">2014-08-01T12:47:00Z</dcterms:modified>
</cp:coreProperties>
</file>